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ПРИЛОЖЕНИЕ</w:t>
      </w:r>
    </w:p>
    <w:p>
      <w:pPr>
        <w:pStyle w:val="Normal"/>
        <w:ind w:firstLine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 решению </w:t>
      </w:r>
      <w:r>
        <w:rPr>
          <w:sz w:val="28"/>
          <w:szCs w:val="28"/>
          <w:lang w:val="en-US" w:eastAsia="en-US"/>
        </w:rPr>
        <w:t>II</w:t>
      </w:r>
      <w:r>
        <w:rPr>
          <w:sz w:val="28"/>
          <w:szCs w:val="28"/>
          <w:lang w:eastAsia="en-US"/>
        </w:rPr>
        <w:t xml:space="preserve"> сессии </w:t>
      </w:r>
      <w:r>
        <w:rPr>
          <w:sz w:val="28"/>
          <w:szCs w:val="28"/>
          <w:lang w:val="en-US" w:eastAsia="en-US"/>
        </w:rPr>
        <w:t>IV</w:t>
      </w:r>
      <w:r>
        <w:rPr>
          <w:sz w:val="28"/>
          <w:szCs w:val="28"/>
          <w:lang w:eastAsia="en-US"/>
        </w:rPr>
        <w:t xml:space="preserve"> созыва</w:t>
      </w:r>
    </w:p>
    <w:p>
      <w:pPr>
        <w:pStyle w:val="Normal"/>
        <w:ind w:firstLine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Совета Выселковского сельского</w:t>
      </w:r>
    </w:p>
    <w:p>
      <w:pPr>
        <w:pStyle w:val="Normal"/>
        <w:ind w:firstLine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поселения Выселковского района</w:t>
      </w:r>
    </w:p>
    <w:p>
      <w:pPr>
        <w:pStyle w:val="Normal"/>
        <w:ind w:firstLine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6 ноября 2019 № 4-23</w:t>
      </w:r>
    </w:p>
    <w:p>
      <w:pPr>
        <w:pStyle w:val="Normal"/>
        <w:ind w:firstLine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ind w:firstLine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бюджета Выселковского сельского  поселения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Выселковского района на 2020 год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1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местного бюджета на 2020 год: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в сумме 147 326,7 тыс. рублей;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147 326,7  тыс. рублей; 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2020 года в сумме  0,0  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дефицит (профицит) местного бюджета в сумме 0,0 тыс. рублей.</w:t>
      </w:r>
    </w:p>
    <w:p>
      <w:pPr>
        <w:pStyle w:val="Normal"/>
        <w:keepNext w:val="true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2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перечень главных администраторов доходов местного бюджета и  закрепляемые за ними виды (подвиды) доходов местного бюджета и перечень главных администраторов источников финансирования дефицита местного бюджета согласно приложению 1 к настоящему Решению.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перечень главных администраторов доходов органов государственной власти Краснодарского края, согласно приложению 2 к настоящему Решению.</w:t>
      </w:r>
    </w:p>
    <w:p>
      <w:pPr>
        <w:pStyle w:val="Normal"/>
        <w:keepNext w:val="true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3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объем поступлений доходов в бюджет Выселковского сельского поселения Выселковского района по кодам видов (подвидов) доходов на 2019 год в суммах согласно приложению 3  к настоящему Решению.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в составе доходов местного бюджета безвозмездные поступления из других уровней бюджетов бюджетной системы РФ в бюджет Выселковского сельского поселения Выселковского района в 2020 году согласно приложению 4 к настоящему Решению.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 нормативы отчисления  доходов в бюджет Выселковского сельского поселения Выселковского района  на 2020 год согласно приложению 5 к настоящему Решению.</w:t>
      </w:r>
    </w:p>
    <w:p>
      <w:pPr>
        <w:pStyle w:val="Normal"/>
        <w:widowControl w:val="false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4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соответствии с настоящим Решением.</w:t>
      </w:r>
    </w:p>
    <w:p>
      <w:pPr>
        <w:pStyle w:val="Normal"/>
        <w:widowControl w:val="false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5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распределение бюджетных ассигнований по разделам и подразделам классификации расходов бюджетов на 2020 год согласно приложению 6 к настоящему Решению.</w:t>
      </w:r>
    </w:p>
    <w:p>
      <w:pPr>
        <w:pStyle w:val="Normal"/>
        <w:widowControl w:val="false"/>
        <w:ind w:firstLine="851"/>
        <w:jc w:val="both"/>
        <w:rPr/>
      </w:pPr>
      <w:r>
        <w:rPr>
          <w:sz w:val="28"/>
          <w:szCs w:val="28"/>
        </w:rPr>
        <w:t xml:space="preserve">2. Утвердить распределение бюджетных ассигнований по 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расходов классификации расходов бюджетов на 2020 год согласно </w:t>
      </w:r>
      <w:hyperlink r:id="rId2">
        <w:r>
          <w:rPr>
            <w:rStyle w:val="ListLabel19"/>
            <w:sz w:val="28"/>
            <w:szCs w:val="28"/>
          </w:rPr>
          <w:t xml:space="preserve">приложению </w:t>
        </w:r>
      </w:hyperlink>
      <w:r>
        <w:rPr>
          <w:sz w:val="28"/>
          <w:szCs w:val="28"/>
        </w:rPr>
        <w:t>7 к настоящему Решению.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ведомственную структуру расходов бюджета Выселковского сельского поселения Выселковского района на 2020 год согласно приложению 8 к настоящему Решению.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в составе ведомственной структуры расходов местного бюджета на 2020 год перечень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Утвердить в составе ведомственной структуры расходов местного бюджета на 2020 год: 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бюджетных ассигнований, направляемых на исполнение публичных нормативных обязательств в сумме 200,0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резервный фонд администрации Выселковского сельского поселения Выселковского района в сумме 200,0 тыс. рублей.</w:t>
      </w:r>
    </w:p>
    <w:p>
      <w:pPr>
        <w:pStyle w:val="Normal"/>
        <w:widowControl w:val="false"/>
        <w:ind w:firstLine="851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>6. Утвердить источники внутреннего финансирования дефицита местного бюджета, перечень статей источников финансирования дефицитов бюджетов на 2020 год согласно приложению 9 к настоящему Решению.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 Утвердить объем м</w:t>
      </w:r>
      <w:r>
        <w:rPr>
          <w:sz w:val="28"/>
          <w:szCs w:val="28"/>
        </w:rPr>
        <w:t>ежбюджетных трансфертов, выделяемых из бюджета Выселковского сельского поселения другим бюджетам бюджетной системы Российской Федерации на финансирование расходов, связанных с передачей полномочий в 2012 году согласно приложению 10 к настоящему Решению.</w:t>
      </w:r>
    </w:p>
    <w:p>
      <w:pPr>
        <w:pStyle w:val="Normal"/>
        <w:widowControl w:val="false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6</w:t>
      </w:r>
    </w:p>
    <w:p>
      <w:pPr>
        <w:pStyle w:val="Normal"/>
        <w:widowControl w:val="false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 использованные по состоянию на 1 января 2020 года остатки межбюджетных трансфертов, предоставленных из местного бюджета другим бюджетам бюджетной системы Российской Федерации в форме иных межбюджетных трансфертов, имеющих целевое назначение, подлежат возврату в местный бюджет в сроки и порядке, которые установлены администрацией Выселковского сельского поселения Выселковского района.</w:t>
      </w:r>
    </w:p>
    <w:p>
      <w:pPr>
        <w:pStyle w:val="Normal"/>
        <w:widowControl w:val="false"/>
        <w:numPr>
          <w:ilvl w:val="0"/>
          <w:numId w:val="1"/>
        </w:numPr>
        <w:ind w:left="0" w:firstLine="851"/>
        <w:jc w:val="both"/>
        <w:rPr/>
      </w:pPr>
      <w:r>
        <w:rPr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муниципальным бюджетным учреждениям Выселковского сельского поселения Выселковского района в соответствии с </w:t>
      </w:r>
      <w:hyperlink r:id="rId3">
        <w:r>
          <w:rPr>
            <w:rStyle w:val="ListLabel19"/>
            <w:sz w:val="28"/>
            <w:szCs w:val="28"/>
          </w:rPr>
          <w:t>абзацем вторым пункта 1 статьи 78.1</w:t>
        </w:r>
      </w:hyperlink>
      <w:r>
        <w:rPr>
          <w:sz w:val="28"/>
          <w:szCs w:val="28"/>
        </w:rPr>
        <w:t xml:space="preserve"> Бюджетного кодекса Российской Федерации и перечисленные ими в местный бюджет, возвращаются муниципальным бюджетным учреждениям Выселковского сельского поселения Выселковского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местного бюджета, осуществляющего в отношении них функции и полномочия учредителя, после внесения соответствующих изменений в настоящее Решение.</w:t>
      </w:r>
    </w:p>
    <w:p>
      <w:pPr>
        <w:pStyle w:val="Normal"/>
        <w:widowControl w:val="false"/>
        <w:ind w:firstLine="851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Пункт 7</w:t>
      </w:r>
      <w:r>
        <w:rPr>
          <w:bCs/>
          <w:sz w:val="28"/>
          <w:szCs w:val="28"/>
        </w:rPr>
        <w:t xml:space="preserve"> 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Остатки средств местного бюджета на начало текущего финансового года направляются на: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покрытие временных кассовых разрывов, возникающих в ходе исполнения местного бюджета в текущем финансовом году, в объеме, необходимом для их покрытия;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оплату заключенных от имени администрации Выселковского сельского поселения Выселковского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>
      <w:pPr>
        <w:pStyle w:val="Normal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8</w:t>
      </w:r>
    </w:p>
    <w:p>
      <w:pPr>
        <w:pStyle w:val="Normal"/>
        <w:widowControl w:val="false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Утвердить объем бюджетных ассигнований дорожного фонда Выселковского сельского поселения Выселковского района на </w:t>
      </w:r>
      <w:r>
        <w:rPr>
          <w:sz w:val="28"/>
          <w:szCs w:val="28"/>
        </w:rPr>
        <w:t>2020</w:t>
      </w:r>
      <w:r>
        <w:rPr>
          <w:bCs/>
          <w:sz w:val="28"/>
          <w:szCs w:val="28"/>
        </w:rPr>
        <w:t xml:space="preserve"> год в сумме </w:t>
      </w:r>
      <w:r>
        <w:rPr>
          <w:b/>
          <w:sz w:val="28"/>
          <w:szCs w:val="28"/>
        </w:rPr>
        <w:t xml:space="preserve">37 125,0 </w:t>
      </w:r>
      <w:r>
        <w:rPr>
          <w:bCs/>
          <w:sz w:val="28"/>
          <w:szCs w:val="28"/>
        </w:rPr>
        <w:t>тыс. рублей.</w:t>
      </w:r>
    </w:p>
    <w:p>
      <w:pPr>
        <w:pStyle w:val="Normal"/>
        <w:widowControl w:val="false"/>
        <w:ind w:firstLine="851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Пункт 9</w:t>
      </w:r>
    </w:p>
    <w:p>
      <w:pPr>
        <w:pStyle w:val="Normal"/>
        <w:ind w:firstLine="851"/>
        <w:jc w:val="both"/>
        <w:rPr/>
      </w:pPr>
      <w:r>
        <w:rPr>
          <w:sz w:val="28"/>
          <w:szCs w:val="28"/>
        </w:rPr>
        <w:t xml:space="preserve">1. 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>
        <w:r>
          <w:rPr>
            <w:rStyle w:val="ListLabel19"/>
            <w:sz w:val="28"/>
            <w:szCs w:val="28"/>
          </w:rPr>
          <w:t xml:space="preserve">частью </w:t>
        </w:r>
      </w:hyperlink>
      <w:r>
        <w:rPr>
          <w:sz w:val="28"/>
          <w:szCs w:val="28"/>
        </w:rPr>
        <w:t>2 настоящего пункта, и в порядке согласно приложению 13 к настоящему Решению.</w:t>
      </w:r>
    </w:p>
    <w:p>
      <w:pPr>
        <w:pStyle w:val="Normal"/>
        <w:ind w:firstLine="851"/>
        <w:jc w:val="both"/>
        <w:rPr>
          <w:sz w:val="28"/>
          <w:szCs w:val="28"/>
        </w:rPr>
      </w:pPr>
      <w:bookmarkStart w:id="0" w:name="Par170"/>
      <w:bookmarkEnd w:id="0"/>
      <w:r>
        <w:rPr>
          <w:sz w:val="28"/>
          <w:szCs w:val="28"/>
        </w:rPr>
        <w:t>2.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возмещения затрат специализированным службам по вопросам похоронного дела;</w:t>
      </w:r>
    </w:p>
    <w:p>
      <w:pPr>
        <w:pStyle w:val="Normal"/>
        <w:ind w:firstLine="851"/>
        <w:jc w:val="both"/>
        <w:rPr>
          <w:spacing w:val="2"/>
          <w:sz w:val="28"/>
          <w:szCs w:val="28"/>
          <w:highlight w:val="white"/>
        </w:rPr>
      </w:pPr>
      <w:r>
        <w:rPr>
          <w:sz w:val="28"/>
          <w:szCs w:val="28"/>
        </w:rPr>
        <w:t xml:space="preserve">2) финансового обеспечения (возмещения) затрат </w:t>
      </w:r>
      <w:r>
        <w:rPr>
          <w:spacing w:val="2"/>
          <w:sz w:val="28"/>
          <w:szCs w:val="28"/>
          <w:shd w:fill="FFFFFF" w:val="clear"/>
        </w:rPr>
        <w:t>лицам, предоставляющим населению услуги в сфере ЖКХ по тарифам, не обеспечивающим возмещение затрат;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  <w:shd w:fill="FFFFFF" w:val="clear"/>
        </w:rPr>
        <w:t>3)</w:t>
      </w:r>
      <w:r>
        <w:rPr>
          <w:sz w:val="28"/>
          <w:szCs w:val="28"/>
        </w:rPr>
        <w:t xml:space="preserve"> финансового обеспечения (возмещения) затрат </w:t>
      </w:r>
      <w:r>
        <w:rPr>
          <w:spacing w:val="2"/>
          <w:sz w:val="28"/>
          <w:szCs w:val="28"/>
          <w:shd w:fill="FFFFFF" w:val="clear"/>
        </w:rPr>
        <w:t xml:space="preserve"> на подготовку систем</w:t>
      </w:r>
      <w:r>
        <w:rPr>
          <w:color w:val="2D2D2D"/>
          <w:spacing w:val="2"/>
          <w:sz w:val="28"/>
          <w:szCs w:val="28"/>
          <w:shd w:fill="FFFFFF" w:val="clear"/>
        </w:rPr>
        <w:t xml:space="preserve"> </w:t>
      </w:r>
      <w:r>
        <w:rPr>
          <w:sz w:val="28"/>
          <w:szCs w:val="28"/>
        </w:rPr>
        <w:t>жилищно-коммунального комплекса (систем теплоснабжения, водоснабжения, водоотведения) к осенне-зимнему периоду.</w:t>
      </w:r>
    </w:p>
    <w:p>
      <w:pPr>
        <w:pStyle w:val="Normal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10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приложением 8 к настоящему Решению.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>
      <w:pPr>
        <w:pStyle w:val="Normal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11</w:t>
      </w:r>
    </w:p>
    <w:p>
      <w:pPr>
        <w:pStyle w:val="Normal"/>
        <w:ind w:firstLine="851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>Установить, что администрация Выселковского сельского поселения Выселковского района не вправе принимать решения, приводящие к увеличению в 2020 году штатной численности муниципальных служащих Выселковского сельского поселения Выселковского района в администрации Выселковского сельского поселения Выселковского района, за исключением случаев принятия решений о наделении органов исполнительной власти Выселковского сельского поселения Выселковского района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Выселковского сельского поселения Выселковского района муниципальных учреждений.</w:t>
      </w:r>
    </w:p>
    <w:p>
      <w:pPr>
        <w:pStyle w:val="Normal"/>
        <w:widowControl w:val="false"/>
        <w:ind w:firstLine="851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Пункт 12</w:t>
      </w:r>
    </w:p>
    <w:p>
      <w:pPr>
        <w:pStyle w:val="Normal"/>
        <w:widowControl w:val="false"/>
        <w:ind w:firstLine="851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Предусмотреть бюджетные ассигнования в целях повышения заработной платы (должностных окладов) работников муниципальных подведомственных учреждений с 1 января 2020 года на 5 процентов.</w:t>
      </w:r>
    </w:p>
    <w:p>
      <w:pPr>
        <w:pStyle w:val="Normal"/>
        <w:widowControl w:val="false"/>
        <w:ind w:firstLine="851"/>
        <w:jc w:val="both"/>
        <w:rPr>
          <w:b/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Пункт 13</w:t>
      </w:r>
    </w:p>
    <w:p>
      <w:pPr>
        <w:pStyle w:val="Normal"/>
        <w:widowControl w:val="false"/>
        <w:ind w:firstLine="851"/>
        <w:jc w:val="both"/>
        <w:rPr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>1. Утвердить программу муниципальных внутренних заимствований  Выселковского сельского поселения Выселковского района на 2020 год согласно приложению 11 к настоящему Решению.</w:t>
      </w:r>
      <w:r>
        <w:rPr>
          <w:color w:val="C00000"/>
          <w:sz w:val="28"/>
          <w:szCs w:val="28"/>
        </w:rPr>
        <w:t xml:space="preserve"> </w:t>
      </w:r>
    </w:p>
    <w:p>
      <w:pPr>
        <w:pStyle w:val="Normal"/>
        <w:widowControl w:val="false"/>
        <w:ind w:firstLine="851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. Утвердить программу муниципальных гарантий Выселковского сельского поселения Выселковского района в валюте Российской Федерации на 2020 год согласно приложению 12 к настоящему Решению.</w:t>
      </w:r>
    </w:p>
    <w:p>
      <w:pPr>
        <w:pStyle w:val="Normal"/>
        <w:widowControl w:val="false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Установить предельный объем муниципального долга Выселковского сельского поселения Выселковского района на 2020 год в сумме 0,0 тыс. рублей.</w:t>
      </w:r>
    </w:p>
    <w:p>
      <w:pPr>
        <w:pStyle w:val="Normal"/>
        <w:widowControl w:val="false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14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правовые акты Выселковского сельского поселения Выселковского района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 </w:t>
      </w:r>
    </w:p>
    <w:p>
      <w:pPr>
        <w:pStyle w:val="Normal"/>
        <w:widowControl w:val="false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15</w:t>
      </w:r>
    </w:p>
    <w:p>
      <w:pPr>
        <w:pStyle w:val="Normal"/>
        <w:widowControl w:val="false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Опубликовать настоящее решение в газете «Власть Советов».</w:t>
      </w:r>
    </w:p>
    <w:p>
      <w:pPr>
        <w:pStyle w:val="Normal"/>
        <w:widowControl w:val="false"/>
        <w:ind w:firstLine="851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Пункт 16</w:t>
      </w:r>
    </w:p>
    <w:p>
      <w:pPr>
        <w:pStyle w:val="Normal"/>
        <w:widowControl w:val="false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со дня подписания.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сельского поселения </w:t>
      </w:r>
    </w:p>
    <w:p>
      <w:pPr>
        <w:pStyle w:val="Normal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       </w:t>
        <w:tab/>
        <w:t xml:space="preserve">                              М. И. Хлыстун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bookmarkStart w:id="1" w:name="_GoBack"/>
      <w:bookmarkStart w:id="2" w:name="_GoBack"/>
      <w:bookmarkEnd w:id="2"/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  О.А. Зяблова</w:t>
      </w:r>
    </w:p>
    <w:p>
      <w:pPr>
        <w:pStyle w:val="Normal"/>
        <w:tabs>
          <w:tab w:val="clear" w:pos="708"/>
          <w:tab w:val="left" w:pos="7218" w:leader="none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jc w:val="center"/>
        <w:rPr/>
      </w:pPr>
      <w:r>
        <w:rPr/>
      </w:r>
    </w:p>
    <w:sectPr>
      <w:headerReference w:type="default" r:id="rId4"/>
      <w:headerReference w:type="first" r:id="rId5"/>
      <w:type w:val="nextPage"/>
      <w:pgSz w:w="11906" w:h="16838"/>
      <w:pgMar w:left="1701" w:right="567" w:header="709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9"/>
      <w:jc w:val="center"/>
      <w:rPr/>
    </w:pPr>
    <w:r>
      <w:rPr>
        <w:sz w:val="28"/>
      </w:rPr>
      <w:fldChar w:fldCharType="begin"/>
    </w:r>
    <w:r>
      <w:rPr>
        <w:sz w:val="28"/>
      </w:rPr>
      <w:instrText> PAGE </w:instrText>
    </w:r>
    <w:r>
      <w:rPr>
        <w:sz w:val="28"/>
      </w:rPr>
      <w:fldChar w:fldCharType="separate"/>
    </w:r>
    <w:r>
      <w:rPr>
        <w:sz w:val="28"/>
      </w:rPr>
      <w:t>5</w:t>
    </w:r>
    <w:r>
      <w:rPr>
        <w:sz w:val="28"/>
      </w:rPr>
      <w:fldChar w:fldCharType="end"/>
    </w:r>
  </w:p>
  <w:p>
    <w:pPr>
      <w:pStyle w:val="Style29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9"/>
      <w:jc w:val="center"/>
      <w:rPr/>
    </w:pPr>
    <w:r>
      <w:rPr/>
    </w:r>
  </w:p>
  <w:p>
    <w:pPr>
      <w:pStyle w:val="Style2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e0155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2"/>
    <w:uiPriority w:val="99"/>
    <w:semiHidden/>
    <w:qFormat/>
    <w:rsid w:val="00b54571"/>
    <w:rPr>
      <w:sz w:val="24"/>
      <w:szCs w:val="24"/>
    </w:rPr>
  </w:style>
  <w:style w:type="character" w:styleId="Style14" w:customStyle="1">
    <w:name w:val="Текст Знак"/>
    <w:basedOn w:val="DefaultParagraphFont"/>
    <w:link w:val="a3"/>
    <w:uiPriority w:val="99"/>
    <w:qFormat/>
    <w:rsid w:val="00b54571"/>
    <w:rPr>
      <w:rFonts w:ascii="Courier New" w:hAnsi="Courier New" w:cs="Courier New"/>
      <w:sz w:val="20"/>
      <w:szCs w:val="20"/>
    </w:rPr>
  </w:style>
  <w:style w:type="character" w:styleId="Style15" w:customStyle="1">
    <w:name w:val="Основной текст с отступом Знак"/>
    <w:basedOn w:val="DefaultParagraphFont"/>
    <w:link w:val="a5"/>
    <w:uiPriority w:val="99"/>
    <w:qFormat/>
    <w:rsid w:val="00b54571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qFormat/>
    <w:rsid w:val="009e0155"/>
    <w:rPr>
      <w:rFonts w:ascii="Times New Roman" w:hAnsi="Times New Roman" w:cs="Times New Roman"/>
      <w:sz w:val="28"/>
    </w:rPr>
  </w:style>
  <w:style w:type="character" w:styleId="Style16" w:customStyle="1">
    <w:name w:val="Основной текст Знак"/>
    <w:basedOn w:val="DefaultParagraphFont"/>
    <w:link w:val="a8"/>
    <w:uiPriority w:val="99"/>
    <w:semiHidden/>
    <w:qFormat/>
    <w:rsid w:val="00b54571"/>
    <w:rPr>
      <w:sz w:val="24"/>
      <w:szCs w:val="24"/>
    </w:rPr>
  </w:style>
  <w:style w:type="character" w:styleId="21" w:customStyle="1">
    <w:name w:val="Основной текст 2 Знак"/>
    <w:basedOn w:val="DefaultParagraphFont"/>
    <w:link w:val="21"/>
    <w:uiPriority w:val="99"/>
    <w:qFormat/>
    <w:rsid w:val="00145ed2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link w:val="ab"/>
    <w:uiPriority w:val="99"/>
    <w:qFormat/>
    <w:rsid w:val="00765ddd"/>
    <w:rPr>
      <w:sz w:val="24"/>
      <w:szCs w:val="24"/>
    </w:rPr>
  </w:style>
  <w:style w:type="character" w:styleId="Style18" w:customStyle="1">
    <w:name w:val="Нижний колонтитул Знак"/>
    <w:basedOn w:val="DefaultParagraphFont"/>
    <w:link w:val="ad"/>
    <w:uiPriority w:val="99"/>
    <w:qFormat/>
    <w:rsid w:val="00765ddd"/>
    <w:rPr>
      <w:sz w:val="24"/>
      <w:szCs w:val="24"/>
    </w:rPr>
  </w:style>
  <w:style w:type="character" w:styleId="Style19" w:customStyle="1">
    <w:name w:val="Текст выноски Знак"/>
    <w:basedOn w:val="DefaultParagraphFont"/>
    <w:link w:val="af2"/>
    <w:uiPriority w:val="99"/>
    <w:semiHidden/>
    <w:qFormat/>
    <w:rsid w:val="00785a79"/>
    <w:rPr>
      <w:rFonts w:ascii="Tahoma" w:hAnsi="Tahoma" w:cs="Tahoma"/>
      <w:sz w:val="16"/>
      <w:szCs w:val="16"/>
    </w:rPr>
  </w:style>
  <w:style w:type="character" w:styleId="Style20">
    <w:name w:val="Интернет-ссылка"/>
    <w:rPr>
      <w:color w:val="000080"/>
      <w:u w:val="single"/>
      <w:lang w:val="zxx" w:eastAsia="zxx" w:bidi="zxx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link w:val="a9"/>
    <w:uiPriority w:val="99"/>
    <w:semiHidden/>
    <w:rsid w:val="009e0155"/>
    <w:pPr>
      <w:jc w:val="both"/>
    </w:pPr>
    <w:rPr>
      <w:sz w:val="28"/>
      <w:szCs w:val="28"/>
    </w:rPr>
  </w:style>
  <w:style w:type="paragraph" w:styleId="Style23">
    <w:name w:val="List"/>
    <w:basedOn w:val="Style22"/>
    <w:pPr/>
    <w:rPr>
      <w:rFonts w:cs="Mangal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BodyTextIndent2">
    <w:name w:val="Body Text Indent 2"/>
    <w:basedOn w:val="Normal"/>
    <w:link w:val="20"/>
    <w:uiPriority w:val="99"/>
    <w:semiHidden/>
    <w:qFormat/>
    <w:rsid w:val="009e0155"/>
    <w:pPr>
      <w:ind w:firstLine="540"/>
      <w:jc w:val="both"/>
    </w:pPr>
    <w:rPr>
      <w:lang w:eastAsia="en-US"/>
    </w:rPr>
  </w:style>
  <w:style w:type="paragraph" w:styleId="PlainText">
    <w:name w:val="Plain Text"/>
    <w:basedOn w:val="Normal"/>
    <w:link w:val="a4"/>
    <w:uiPriority w:val="99"/>
    <w:qFormat/>
    <w:rsid w:val="009e0155"/>
    <w:pPr/>
    <w:rPr>
      <w:rFonts w:ascii="Courier New" w:hAnsi="Courier New"/>
      <w:sz w:val="20"/>
      <w:szCs w:val="20"/>
    </w:rPr>
  </w:style>
  <w:style w:type="paragraph" w:styleId="Style26">
    <w:name w:val="Body Text Indent"/>
    <w:basedOn w:val="Normal"/>
    <w:link w:val="a6"/>
    <w:uiPriority w:val="99"/>
    <w:rsid w:val="009e0155"/>
    <w:pPr>
      <w:spacing w:before="0" w:after="120"/>
      <w:ind w:left="283" w:hanging="0"/>
    </w:pPr>
    <w:rPr/>
  </w:style>
  <w:style w:type="paragraph" w:styleId="Style27" w:customStyle="1">
    <w:name w:val="обычный_ Знак Знак"/>
    <w:basedOn w:val="Normal"/>
    <w:autoRedefine/>
    <w:uiPriority w:val="99"/>
    <w:qFormat/>
    <w:rsid w:val="00d83dfb"/>
    <w:pPr>
      <w:widowControl w:val="false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22"/>
    <w:uiPriority w:val="99"/>
    <w:unhideWhenUsed/>
    <w:qFormat/>
    <w:rsid w:val="00145ed2"/>
    <w:pPr>
      <w:spacing w:lineRule="auto" w:line="480" w:before="0" w:after="120"/>
    </w:pPr>
    <w:rPr/>
  </w:style>
  <w:style w:type="paragraph" w:styleId="Style28">
    <w:name w:val="Верхний и нижний колонтитулы"/>
    <w:basedOn w:val="Normal"/>
    <w:qFormat/>
    <w:pPr/>
    <w:rPr/>
  </w:style>
  <w:style w:type="paragraph" w:styleId="Style29">
    <w:name w:val="Header"/>
    <w:basedOn w:val="Normal"/>
    <w:link w:val="ac"/>
    <w:uiPriority w:val="99"/>
    <w:unhideWhenUsed/>
    <w:rsid w:val="00765dd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ae"/>
    <w:uiPriority w:val="99"/>
    <w:unhideWhenUsed/>
    <w:rsid w:val="00765dd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 w:customStyle="1">
    <w:name w:val="Знак Знак Знак Знак Знак Знак Знак Знак Знак"/>
    <w:basedOn w:val="Normal"/>
    <w:qFormat/>
    <w:rsid w:val="00876e21"/>
    <w:pPr>
      <w:spacing w:lineRule="exact" w:line="240" w:before="0" w:after="160"/>
    </w:pPr>
    <w:rPr>
      <w:sz w:val="20"/>
      <w:szCs w:val="20"/>
    </w:rPr>
  </w:style>
  <w:style w:type="paragraph" w:styleId="ConsPlusNormal" w:customStyle="1">
    <w:name w:val="ConsPlusNormal"/>
    <w:qFormat/>
    <w:rsid w:val="0068427f"/>
    <w:pPr>
      <w:widowControl/>
      <w:bidi w:val="0"/>
      <w:jc w:val="left"/>
    </w:pPr>
    <w:rPr>
      <w:rFonts w:ascii="Arial" w:hAnsi="Arial" w:eastAsia="Calibri" w:cs="Arial" w:eastAsiaTheme="minorHAnsi"/>
      <w:color w:val="auto"/>
      <w:kern w:val="0"/>
      <w:sz w:val="24"/>
      <w:szCs w:val="20"/>
      <w:lang w:eastAsia="en-US" w:val="ru-RU" w:bidi="ar-SA"/>
    </w:rPr>
  </w:style>
  <w:style w:type="paragraph" w:styleId="BalloonText">
    <w:name w:val="Balloon Text"/>
    <w:basedOn w:val="Normal"/>
    <w:link w:val="af3"/>
    <w:uiPriority w:val="99"/>
    <w:semiHidden/>
    <w:unhideWhenUsed/>
    <w:qFormat/>
    <w:rsid w:val="00785a79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main?base=RLAW177;n=85414;fld=134;dst=101000" TargetMode="External"/><Relationship Id="rId3" Type="http://schemas.openxmlformats.org/officeDocument/2006/relationships/hyperlink" Target="consultantplus://offline/ref=959A9ECFC9EB69AD12EFBA220E2AE75572FF6A896E989DAAC3E4E2765134AFE6F8575580AD46l0p1F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9870F-5BC5-4A97-9AAC-7BEE5CE2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Application>LibreOffice/6.3.0.4$Windows_X86_64 LibreOffice_project/057fc023c990d676a43019934386b85b21a9ee99</Application>
  <Pages>5</Pages>
  <Words>1180</Words>
  <Characters>8522</Characters>
  <CharactersWithSpaces>9797</CharactersWithSpaces>
  <Paragraphs>71</Paragraphs>
  <Company>Администрация Бузиновского с/п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2016-11-30T05:52:00Z</dcterms:created>
  <dc:creator>Чернявская Любовь Евгеньевна</dc:creator>
  <dc:description/>
  <dc:language>ru-RU</dc:language>
  <cp:lastModifiedBy/>
  <cp:lastPrinted>2019-01-15T08:36:00Z</cp:lastPrinted>
  <dcterms:modified xsi:type="dcterms:W3CDTF">2019-11-07T10:12:49Z</dcterms:modified>
  <cp:revision>43</cp:revision>
  <dc:subject/>
  <dc:title>СОВЕТ  МУНИЦИПАЛЬНОГО ОБРАЗОВАНИЯ БУЗИНОВСКОЕ СЕЛЬСКОЕ ПОСЕЛЕНИЕ В СОСТАВЕ МУНИЦИПАЛЬНОГО ОБРАЗОВАНИЯ ВЫСЕЛКОВСКИЙ  РАЙОН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Администрация Бузиновского с/п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